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0CC07">
      <w:pPr>
        <w:rPr>
          <w:rFonts w:hint="eastAsia" w:ascii="黑体" w:hAnsi="黑体" w:eastAsia="黑体"/>
          <w:sz w:val="32"/>
          <w:szCs w:val="32"/>
        </w:rPr>
      </w:pPr>
    </w:p>
    <w:p w14:paraId="7D4FEF29">
      <w:pPr>
        <w:jc w:val="center"/>
        <w:rPr>
          <w:rFonts w:hint="eastAsia" w:ascii="方正小标宋_GBK" w:hAnsi="宋体" w:eastAsia="方正小标宋_GBK"/>
          <w:sz w:val="44"/>
          <w:szCs w:val="44"/>
        </w:rPr>
      </w:pPr>
    </w:p>
    <w:p w14:paraId="7E96EC7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木垒哈萨克自治县新户镇中心学校</w:t>
      </w:r>
    </w:p>
    <w:p w14:paraId="7EFB1CC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028CB08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A5CEC9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09EDCDAE">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2F84EC0">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AF1DA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B5CA21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BC309C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45B52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E8B8E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AD82F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2ADAA2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B65714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DB8C7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4B9388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0BA88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F035CD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F0D0AB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260857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BEDEE0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1D1E97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CF699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B754FE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E88875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6BC4C9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0D3746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B267A8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E383D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EAC8AA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C51306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1BA5D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5AF086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6E31916">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146328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D0CBD68">
      <w:r>
        <w:rPr>
          <w:rFonts w:hint="eastAsia" w:ascii="仿宋_GB2312" w:hAnsi="仿宋_GB2312" w:eastAsia="仿宋_GB2312" w:cs="仿宋_GB2312"/>
          <w:sz w:val="32"/>
          <w:szCs w:val="32"/>
        </w:rPr>
        <w:fldChar w:fldCharType="end"/>
      </w:r>
    </w:p>
    <w:p w14:paraId="2CCB1540">
      <w:pPr>
        <w:rPr>
          <w:rFonts w:ascii="仿宋_GB2312" w:eastAsia="仿宋_GB2312"/>
          <w:sz w:val="32"/>
          <w:szCs w:val="32"/>
        </w:rPr>
      </w:pPr>
      <w:r>
        <w:rPr>
          <w:rFonts w:hint="eastAsia" w:ascii="仿宋_GB2312" w:eastAsia="仿宋_GB2312"/>
          <w:sz w:val="32"/>
          <w:szCs w:val="32"/>
        </w:rPr>
        <w:br w:type="page"/>
      </w:r>
    </w:p>
    <w:p w14:paraId="05FB0342">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9B8A7A3">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0A2585E8">
      <w:pPr>
        <w:ind w:firstLine="640" w:firstLineChars="200"/>
        <w:outlineLvl w:val="1"/>
        <w:rPr>
          <w:rFonts w:ascii="仿宋_GB2312" w:eastAsia="仿宋_GB2312"/>
          <w:bCs/>
          <w:sz w:val="32"/>
          <w:szCs w:val="32"/>
        </w:rPr>
      </w:pPr>
      <w:bookmarkStart w:id="4" w:name="_Toc31238"/>
      <w:bookmarkStart w:id="5" w:name="_Toc2151"/>
      <w:r>
        <w:rPr>
          <w:rFonts w:hint="eastAsia" w:ascii="仿宋_GB2312" w:eastAsia="仿宋_GB2312"/>
          <w:bCs/>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w:t>
      </w:r>
      <w:r>
        <w:rPr>
          <w:rFonts w:hint="eastAsia" w:ascii="仿宋_GB2312" w:eastAsia="仿宋_GB2312"/>
          <w:bCs/>
          <w:sz w:val="32"/>
          <w:szCs w:val="32"/>
          <w:lang w:eastAsia="zh-CN"/>
        </w:rPr>
        <w:t>主动地</w:t>
      </w:r>
      <w:r>
        <w:rPr>
          <w:rFonts w:hint="eastAsia" w:ascii="仿宋_GB2312" w:eastAsia="仿宋_GB2312"/>
          <w:bCs/>
          <w:sz w:val="32"/>
          <w:szCs w:val="32"/>
        </w:rPr>
        <w:t>去思考、去实践，感受其中的乐趣。建构健康、平等、和谐的师幼环境，要求教师爱护、尊重、赏识每一个孩子，平等、宽容地对待每一个孩子，站在孩子的立场，积极鼓励孩子，努力使他们成为自信、活泼、健康、快乐的孩子。</w:t>
      </w:r>
    </w:p>
    <w:p w14:paraId="6B9ED8D2">
      <w:pPr>
        <w:ind w:firstLine="640" w:firstLineChars="200"/>
        <w:outlineLvl w:val="1"/>
        <w:rPr>
          <w:rFonts w:ascii="仿宋_GB2312" w:eastAsia="仿宋_GB2312"/>
          <w:bCs/>
          <w:sz w:val="32"/>
          <w:szCs w:val="32"/>
        </w:rPr>
      </w:pPr>
      <w:r>
        <w:rPr>
          <w:rFonts w:hint="eastAsia" w:ascii="仿宋_GB2312" w:eastAsia="仿宋_GB2312"/>
          <w:bCs/>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47F0DDE9">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E7E0397">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木垒哈萨克自治县新户镇中心学校2023年度，实有人数</w:t>
      </w:r>
      <w:r>
        <w:rPr>
          <w:rFonts w:hint="eastAsia" w:ascii="仿宋_GB2312" w:eastAsia="仿宋_GB2312"/>
          <w:sz w:val="32"/>
          <w:szCs w:val="32"/>
          <w:lang w:val="zh-CN"/>
        </w:rPr>
        <w:t>132</w:t>
      </w:r>
      <w:r>
        <w:rPr>
          <w:rFonts w:hint="eastAsia" w:ascii="仿宋_GB2312" w:eastAsia="仿宋_GB2312"/>
          <w:sz w:val="32"/>
          <w:szCs w:val="32"/>
        </w:rPr>
        <w:t>人，其中：在职人员</w:t>
      </w:r>
      <w:r>
        <w:rPr>
          <w:rFonts w:hint="eastAsia" w:ascii="仿宋_GB2312" w:eastAsia="仿宋_GB2312"/>
          <w:sz w:val="32"/>
          <w:szCs w:val="32"/>
          <w:lang w:val="zh-CN"/>
        </w:rPr>
        <w:t>50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82</w:t>
      </w:r>
      <w:r>
        <w:rPr>
          <w:rFonts w:hint="eastAsia" w:ascii="仿宋_GB2312" w:eastAsia="仿宋_GB2312"/>
          <w:sz w:val="32"/>
          <w:szCs w:val="32"/>
        </w:rPr>
        <w:t>人。</w:t>
      </w:r>
    </w:p>
    <w:p w14:paraId="1D3E241D">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个处室，分别是：教务室、总务室、财务室、德育室。</w:t>
      </w:r>
    </w:p>
    <w:p w14:paraId="55F715D1">
      <w:pPr>
        <w:ind w:firstLine="640" w:firstLineChars="200"/>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30CC401">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BC7FC02">
      <w:pPr>
        <w:ind w:firstLine="640" w:firstLineChars="200"/>
        <w:jc w:val="left"/>
        <w:rPr>
          <w:rFonts w:ascii="仿宋_GB2312" w:eastAsia="仿宋_GB2312"/>
          <w:sz w:val="32"/>
          <w:szCs w:val="32"/>
        </w:rPr>
      </w:pPr>
      <w:r>
        <w:rPr>
          <w:rFonts w:hint="eastAsia" w:ascii="仿宋_GB2312" w:eastAsia="仿宋_GB2312"/>
          <w:sz w:val="32"/>
          <w:szCs w:val="32"/>
        </w:rPr>
        <w:t>2023年度收入总计1,317.47万元，其中：本年收入合计1,300.66万元，使用非财政拨款结余0.00万元，年初结转和结余16.81万元。</w:t>
      </w:r>
    </w:p>
    <w:p w14:paraId="621BA18F">
      <w:pPr>
        <w:ind w:firstLine="640" w:firstLineChars="200"/>
        <w:jc w:val="left"/>
        <w:rPr>
          <w:rFonts w:ascii="仿宋_GB2312" w:eastAsia="仿宋_GB2312"/>
          <w:sz w:val="32"/>
          <w:szCs w:val="32"/>
        </w:rPr>
      </w:pPr>
      <w:r>
        <w:rPr>
          <w:rFonts w:hint="eastAsia" w:ascii="仿宋_GB2312" w:eastAsia="仿宋_GB2312"/>
          <w:sz w:val="32"/>
          <w:szCs w:val="32"/>
        </w:rPr>
        <w:t>2023年度支出总计1,317.47万元，其中：本年支出合计1,298.31万元，结余分配0.00万元，年末结转和结余19.16万元。</w:t>
      </w:r>
    </w:p>
    <w:p w14:paraId="5911CAB5">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增加149.35万元</w:t>
      </w:r>
      <w:r>
        <w:rPr>
          <w:rFonts w:hint="eastAsia" w:ascii="仿宋_GB2312" w:eastAsia="仿宋_GB2312"/>
          <w:sz w:val="32"/>
          <w:szCs w:val="32"/>
        </w:rPr>
        <w:t>，增长12.79%，主要原因是：</w:t>
      </w:r>
      <w:r>
        <w:rPr>
          <w:rFonts w:hint="eastAsia" w:ascii="仿宋_GB2312" w:eastAsia="仿宋_GB2312"/>
          <w:sz w:val="32"/>
          <w:szCs w:val="32"/>
          <w:lang w:val="en-US" w:eastAsia="zh-CN"/>
        </w:rPr>
        <w:t>本年</w:t>
      </w:r>
      <w:r>
        <w:rPr>
          <w:rFonts w:hint="eastAsia" w:ascii="仿宋_GB2312" w:eastAsia="仿宋_GB2312"/>
          <w:sz w:val="32"/>
          <w:szCs w:val="32"/>
        </w:rPr>
        <w:t>学校合并</w:t>
      </w:r>
      <w:r>
        <w:rPr>
          <w:rFonts w:hint="eastAsia" w:ascii="仿宋_GB2312" w:eastAsia="仿宋_GB2312"/>
          <w:sz w:val="32"/>
          <w:szCs w:val="32"/>
          <w:lang w:eastAsia="zh-CN"/>
        </w:rPr>
        <w:t>，</w:t>
      </w:r>
      <w:r>
        <w:rPr>
          <w:rFonts w:hint="eastAsia" w:ascii="仿宋_GB2312" w:eastAsia="仿宋_GB2312"/>
          <w:sz w:val="32"/>
          <w:szCs w:val="32"/>
        </w:rPr>
        <w:t>调入教师</w:t>
      </w:r>
      <w:r>
        <w:rPr>
          <w:rFonts w:ascii="仿宋_GB2312" w:eastAsia="仿宋_GB2312"/>
          <w:sz w:val="32"/>
          <w:szCs w:val="32"/>
        </w:rPr>
        <w:t>4</w:t>
      </w:r>
      <w:r>
        <w:rPr>
          <w:rFonts w:hint="eastAsia" w:ascii="仿宋_GB2312" w:eastAsia="仿宋_GB2312"/>
          <w:sz w:val="32"/>
          <w:szCs w:val="32"/>
        </w:rPr>
        <w:t>人</w:t>
      </w:r>
      <w:r>
        <w:rPr>
          <w:rFonts w:hint="eastAsia" w:ascii="仿宋_GB2312" w:eastAsia="仿宋_GB2312"/>
          <w:sz w:val="32"/>
          <w:szCs w:val="32"/>
          <w:lang w:eastAsia="zh-CN"/>
        </w:rPr>
        <w:t>，</w:t>
      </w:r>
      <w:r>
        <w:rPr>
          <w:rFonts w:hint="eastAsia" w:ascii="仿宋_GB2312" w:eastAsia="仿宋_GB2312"/>
          <w:sz w:val="32"/>
          <w:szCs w:val="32"/>
        </w:rPr>
        <w:t>工资、</w:t>
      </w:r>
      <w:r>
        <w:rPr>
          <w:rFonts w:hint="eastAsia" w:ascii="仿宋_GB2312" w:eastAsia="仿宋_GB2312"/>
          <w:sz w:val="32"/>
          <w:szCs w:val="32"/>
          <w:lang w:val="en-US" w:eastAsia="zh-CN"/>
        </w:rPr>
        <w:t>津贴补贴、奖金等相关人员经费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学前三年保障机制</w:t>
      </w:r>
      <w:r>
        <w:rPr>
          <w:rFonts w:hint="eastAsia" w:ascii="仿宋_GB2312" w:eastAsia="仿宋_GB2312"/>
          <w:sz w:val="32"/>
          <w:szCs w:val="32"/>
          <w:lang w:val="en-US" w:eastAsia="zh-CN"/>
        </w:rPr>
        <w:t>项目</w:t>
      </w:r>
      <w:r>
        <w:rPr>
          <w:rFonts w:hint="eastAsia" w:ascii="仿宋_GB2312" w:eastAsia="仿宋_GB2312"/>
          <w:sz w:val="32"/>
          <w:szCs w:val="32"/>
        </w:rPr>
        <w:t>经费增加。</w:t>
      </w:r>
    </w:p>
    <w:p w14:paraId="1A9A60D7">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2F81DED7">
      <w:pPr>
        <w:ind w:firstLine="640" w:firstLineChars="200"/>
        <w:jc w:val="left"/>
        <w:rPr>
          <w:rFonts w:ascii="仿宋_GB2312" w:eastAsia="仿宋_GB2312"/>
          <w:sz w:val="32"/>
          <w:szCs w:val="32"/>
        </w:rPr>
      </w:pPr>
      <w:r>
        <w:rPr>
          <w:rFonts w:hint="eastAsia" w:ascii="仿宋_GB2312" w:eastAsia="仿宋_GB2312"/>
          <w:sz w:val="32"/>
          <w:szCs w:val="32"/>
        </w:rPr>
        <w:t>本年收入1,300.66万元，其中：财政拨款收入</w:t>
      </w:r>
      <w:r>
        <w:rPr>
          <w:rFonts w:hint="eastAsia" w:ascii="仿宋_GB2312" w:eastAsia="仿宋_GB2312"/>
          <w:sz w:val="32"/>
          <w:szCs w:val="32"/>
          <w:lang w:val="zh-CN"/>
        </w:rPr>
        <w:t>1,293.31</w:t>
      </w:r>
      <w:r>
        <w:rPr>
          <w:rFonts w:hint="eastAsia" w:ascii="仿宋_GB2312" w:eastAsia="仿宋_GB2312"/>
          <w:sz w:val="32"/>
          <w:szCs w:val="32"/>
        </w:rPr>
        <w:t>万元，占</w:t>
      </w:r>
      <w:r>
        <w:rPr>
          <w:rFonts w:hint="eastAsia" w:ascii="仿宋_GB2312" w:eastAsia="仿宋_GB2312"/>
          <w:sz w:val="32"/>
          <w:szCs w:val="32"/>
          <w:lang w:val="zh-CN"/>
        </w:rPr>
        <w:t>99.43</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7.35</w:t>
      </w:r>
      <w:r>
        <w:rPr>
          <w:rFonts w:hint="eastAsia" w:ascii="仿宋_GB2312" w:eastAsia="仿宋_GB2312"/>
          <w:sz w:val="32"/>
          <w:szCs w:val="32"/>
        </w:rPr>
        <w:t>万元，占</w:t>
      </w:r>
      <w:r>
        <w:rPr>
          <w:rFonts w:hint="eastAsia" w:ascii="仿宋_GB2312" w:eastAsia="仿宋_GB2312"/>
          <w:sz w:val="32"/>
          <w:szCs w:val="32"/>
          <w:lang w:val="zh-CN"/>
        </w:rPr>
        <w:t>0.57</w:t>
      </w:r>
      <w:r>
        <w:rPr>
          <w:rFonts w:hint="eastAsia" w:ascii="仿宋_GB2312" w:eastAsia="仿宋_GB2312"/>
          <w:sz w:val="32"/>
          <w:szCs w:val="32"/>
        </w:rPr>
        <w:t>%。</w:t>
      </w:r>
    </w:p>
    <w:p w14:paraId="244EA39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77E5B3C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本年支出1,298.31万元，其中：基本支出1,080.36万元，占83.21%；项目支出217.95万元，占16.79%；上缴上级支出0.00万元，占0.00%；经营支出0.00万元，占0.00%；对附属单位补助支出0.00万元，占0.00%。</w:t>
      </w:r>
    </w:p>
    <w:p w14:paraId="422E219F">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7ECCAC3F">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1,296.89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3.58</w:t>
      </w:r>
      <w:r>
        <w:rPr>
          <w:rFonts w:hint="eastAsia" w:ascii="仿宋_GB2312" w:eastAsia="仿宋_GB2312"/>
          <w:sz w:val="32"/>
          <w:szCs w:val="32"/>
        </w:rPr>
        <w:t>万元，本年财政拨款收入</w:t>
      </w:r>
      <w:r>
        <w:rPr>
          <w:rFonts w:hint="eastAsia" w:ascii="仿宋_GB2312" w:eastAsia="仿宋_GB2312"/>
          <w:sz w:val="32"/>
          <w:szCs w:val="32"/>
          <w:lang w:val="zh-CN"/>
        </w:rPr>
        <w:t>1,293.31</w:t>
      </w:r>
      <w:r>
        <w:rPr>
          <w:rFonts w:hint="eastAsia" w:ascii="仿宋_GB2312" w:eastAsia="仿宋_GB2312"/>
          <w:sz w:val="32"/>
          <w:szCs w:val="32"/>
        </w:rPr>
        <w:t>万元。财政拨款支出总计</w:t>
      </w:r>
      <w:r>
        <w:rPr>
          <w:rFonts w:hint="eastAsia" w:ascii="仿宋_GB2312" w:eastAsia="仿宋_GB2312"/>
          <w:sz w:val="32"/>
          <w:szCs w:val="32"/>
          <w:lang w:val="zh-CN"/>
        </w:rPr>
        <w:t>1,296.89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3.58</w:t>
      </w:r>
      <w:r>
        <w:rPr>
          <w:rFonts w:hint="eastAsia" w:ascii="仿宋_GB2312" w:eastAsia="仿宋_GB2312"/>
          <w:sz w:val="32"/>
          <w:szCs w:val="32"/>
        </w:rPr>
        <w:t>万元，本年财政拨款支出</w:t>
      </w:r>
      <w:r>
        <w:rPr>
          <w:rFonts w:hint="eastAsia" w:ascii="仿宋_GB2312" w:eastAsia="仿宋_GB2312"/>
          <w:sz w:val="32"/>
          <w:szCs w:val="32"/>
          <w:lang w:val="zh-CN"/>
        </w:rPr>
        <w:t>1,293.31</w:t>
      </w:r>
      <w:r>
        <w:rPr>
          <w:rFonts w:hint="eastAsia" w:ascii="仿宋_GB2312" w:eastAsia="仿宋_GB2312"/>
          <w:sz w:val="32"/>
          <w:szCs w:val="32"/>
        </w:rPr>
        <w:t>万元。</w:t>
      </w:r>
    </w:p>
    <w:p w14:paraId="0CF8E4C7">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增加142.01万元</w:t>
      </w:r>
      <w:r>
        <w:rPr>
          <w:rFonts w:hint="eastAsia" w:ascii="仿宋_GB2312" w:eastAsia="仿宋_GB2312"/>
          <w:sz w:val="32"/>
          <w:szCs w:val="32"/>
        </w:rPr>
        <w:t>，增长12.30%,主要原因是：</w:t>
      </w:r>
      <w:r>
        <w:rPr>
          <w:rFonts w:hint="eastAsia" w:ascii="仿宋_GB2312" w:eastAsia="仿宋_GB2312"/>
          <w:sz w:val="32"/>
          <w:szCs w:val="32"/>
          <w:lang w:val="en-US" w:eastAsia="zh-CN"/>
        </w:rPr>
        <w:t>本年</w:t>
      </w:r>
      <w:r>
        <w:rPr>
          <w:rFonts w:hint="eastAsia" w:ascii="仿宋_GB2312" w:eastAsia="仿宋_GB2312"/>
          <w:sz w:val="32"/>
          <w:szCs w:val="32"/>
        </w:rPr>
        <w:t>学校合并</w:t>
      </w:r>
      <w:r>
        <w:rPr>
          <w:rFonts w:hint="eastAsia" w:ascii="仿宋_GB2312" w:eastAsia="仿宋_GB2312"/>
          <w:sz w:val="32"/>
          <w:szCs w:val="32"/>
          <w:lang w:eastAsia="zh-CN"/>
        </w:rPr>
        <w:t>，</w:t>
      </w:r>
      <w:r>
        <w:rPr>
          <w:rFonts w:hint="eastAsia" w:ascii="仿宋_GB2312" w:eastAsia="仿宋_GB2312"/>
          <w:sz w:val="32"/>
          <w:szCs w:val="32"/>
        </w:rPr>
        <w:t>调入教师</w:t>
      </w:r>
      <w:r>
        <w:rPr>
          <w:rFonts w:ascii="仿宋_GB2312" w:eastAsia="仿宋_GB2312"/>
          <w:sz w:val="32"/>
          <w:szCs w:val="32"/>
        </w:rPr>
        <w:t>4</w:t>
      </w:r>
      <w:r>
        <w:rPr>
          <w:rFonts w:hint="eastAsia" w:ascii="仿宋_GB2312" w:eastAsia="仿宋_GB2312"/>
          <w:sz w:val="32"/>
          <w:szCs w:val="32"/>
        </w:rPr>
        <w:t>人</w:t>
      </w:r>
      <w:r>
        <w:rPr>
          <w:rFonts w:hint="eastAsia" w:ascii="仿宋_GB2312" w:eastAsia="仿宋_GB2312"/>
          <w:sz w:val="32"/>
          <w:szCs w:val="32"/>
          <w:lang w:eastAsia="zh-CN"/>
        </w:rPr>
        <w:t>，</w:t>
      </w:r>
      <w:r>
        <w:rPr>
          <w:rFonts w:hint="eastAsia" w:ascii="仿宋_GB2312" w:eastAsia="仿宋_GB2312"/>
          <w:sz w:val="32"/>
          <w:szCs w:val="32"/>
        </w:rPr>
        <w:t>工资、</w:t>
      </w:r>
      <w:r>
        <w:rPr>
          <w:rFonts w:hint="eastAsia" w:ascii="仿宋_GB2312" w:eastAsia="仿宋_GB2312"/>
          <w:sz w:val="32"/>
          <w:szCs w:val="32"/>
          <w:lang w:val="en-US" w:eastAsia="zh-CN"/>
        </w:rPr>
        <w:t>津贴补贴、奖金等相关人员经费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学前三年保障机制</w:t>
      </w:r>
      <w:r>
        <w:rPr>
          <w:rFonts w:hint="eastAsia" w:ascii="仿宋_GB2312" w:eastAsia="仿宋_GB2312"/>
          <w:sz w:val="32"/>
          <w:szCs w:val="32"/>
          <w:lang w:val="en-US" w:eastAsia="zh-CN"/>
        </w:rPr>
        <w:t>项目</w:t>
      </w:r>
      <w:r>
        <w:rPr>
          <w:rFonts w:hint="eastAsia" w:ascii="仿宋_GB2312" w:eastAsia="仿宋_GB2312"/>
          <w:sz w:val="32"/>
          <w:szCs w:val="32"/>
        </w:rPr>
        <w:t>经费增加。与年初预算相比，年初预算数</w:t>
      </w:r>
      <w:r>
        <w:rPr>
          <w:rFonts w:hint="eastAsia" w:ascii="仿宋_GB2312" w:eastAsia="仿宋_GB2312"/>
          <w:sz w:val="32"/>
          <w:szCs w:val="32"/>
          <w:lang w:val="zh-CN"/>
        </w:rPr>
        <w:t>1,143.63</w:t>
      </w:r>
      <w:r>
        <w:rPr>
          <w:rFonts w:hint="eastAsia" w:ascii="仿宋_GB2312" w:eastAsia="仿宋_GB2312"/>
          <w:sz w:val="32"/>
          <w:szCs w:val="32"/>
        </w:rPr>
        <w:t>万元，决算数</w:t>
      </w:r>
      <w:r>
        <w:rPr>
          <w:rFonts w:hint="eastAsia" w:ascii="仿宋_GB2312" w:eastAsia="仿宋_GB2312"/>
          <w:sz w:val="32"/>
          <w:szCs w:val="32"/>
          <w:lang w:val="zh-CN"/>
        </w:rPr>
        <w:t>1,296.89</w:t>
      </w:r>
      <w:r>
        <w:rPr>
          <w:rFonts w:hint="eastAsia" w:ascii="仿宋_GB2312" w:eastAsia="仿宋_GB2312"/>
          <w:sz w:val="32"/>
          <w:szCs w:val="32"/>
        </w:rPr>
        <w:t>万元，预决算差异率13.40%，主要原因是：年中追加学前三年保障机制项目经费</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单位本年人员增加，年中追加</w:t>
      </w:r>
      <w:r>
        <w:rPr>
          <w:rFonts w:hint="eastAsia" w:ascii="仿宋_GB2312" w:eastAsia="仿宋_GB2312"/>
          <w:sz w:val="32"/>
          <w:szCs w:val="32"/>
        </w:rPr>
        <w:t>工资、</w:t>
      </w:r>
      <w:r>
        <w:rPr>
          <w:rFonts w:hint="eastAsia" w:ascii="仿宋_GB2312" w:eastAsia="仿宋_GB2312"/>
          <w:sz w:val="32"/>
          <w:szCs w:val="32"/>
          <w:lang w:val="en-US" w:eastAsia="zh-CN"/>
        </w:rPr>
        <w:t>津贴补贴、奖金等相关人员经费</w:t>
      </w:r>
      <w:r>
        <w:rPr>
          <w:rFonts w:hint="eastAsia" w:ascii="仿宋_GB2312" w:eastAsia="仿宋_GB2312"/>
          <w:sz w:val="32"/>
          <w:szCs w:val="32"/>
        </w:rPr>
        <w:t>。</w:t>
      </w:r>
    </w:p>
    <w:p w14:paraId="436D4B62">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52F1C51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20220E8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2023年度一般公共预算财政拨款支出1,293.31万元，占本年支出合计的</w:t>
      </w:r>
      <w:r>
        <w:rPr>
          <w:rFonts w:hint="eastAsia" w:ascii="仿宋_GB2312" w:eastAsia="仿宋_GB2312"/>
          <w:sz w:val="32"/>
          <w:szCs w:val="32"/>
          <w:lang w:val="zh-CN"/>
        </w:rPr>
        <w:t>99.61%</w:t>
      </w:r>
      <w:r>
        <w:rPr>
          <w:rFonts w:hint="eastAsia" w:ascii="仿宋_GB2312" w:eastAsia="仿宋_GB2312"/>
          <w:sz w:val="32"/>
          <w:szCs w:val="32"/>
        </w:rPr>
        <w:t>。与上年相比，</w:t>
      </w:r>
      <w:r>
        <w:rPr>
          <w:rFonts w:hint="eastAsia" w:ascii="仿宋_GB2312" w:eastAsia="仿宋_GB2312"/>
          <w:sz w:val="32"/>
          <w:szCs w:val="32"/>
          <w:lang w:val="zh-CN"/>
        </w:rPr>
        <w:t>增加142.01万元</w:t>
      </w:r>
      <w:r>
        <w:rPr>
          <w:rFonts w:hint="eastAsia" w:ascii="仿宋_GB2312" w:eastAsia="仿宋_GB2312"/>
          <w:sz w:val="32"/>
          <w:szCs w:val="32"/>
        </w:rPr>
        <w:t>，增长12.33%,主要原因是：</w:t>
      </w:r>
      <w:r>
        <w:rPr>
          <w:rFonts w:hint="eastAsia" w:ascii="仿宋_GB2312" w:eastAsia="仿宋_GB2312"/>
          <w:sz w:val="32"/>
          <w:szCs w:val="32"/>
          <w:lang w:val="en-US" w:eastAsia="zh-CN"/>
        </w:rPr>
        <w:t>本年</w:t>
      </w:r>
      <w:r>
        <w:rPr>
          <w:rFonts w:hint="eastAsia" w:ascii="仿宋_GB2312" w:eastAsia="仿宋_GB2312"/>
          <w:sz w:val="32"/>
          <w:szCs w:val="32"/>
        </w:rPr>
        <w:t>学校合并</w:t>
      </w:r>
      <w:r>
        <w:rPr>
          <w:rFonts w:hint="eastAsia" w:ascii="仿宋_GB2312" w:eastAsia="仿宋_GB2312"/>
          <w:sz w:val="32"/>
          <w:szCs w:val="32"/>
          <w:lang w:eastAsia="zh-CN"/>
        </w:rPr>
        <w:t>，</w:t>
      </w:r>
      <w:r>
        <w:rPr>
          <w:rFonts w:hint="eastAsia" w:ascii="仿宋_GB2312" w:eastAsia="仿宋_GB2312"/>
          <w:sz w:val="32"/>
          <w:szCs w:val="32"/>
        </w:rPr>
        <w:t>调入教师</w:t>
      </w:r>
      <w:r>
        <w:rPr>
          <w:rFonts w:ascii="仿宋_GB2312" w:eastAsia="仿宋_GB2312"/>
          <w:sz w:val="32"/>
          <w:szCs w:val="32"/>
        </w:rPr>
        <w:t>4</w:t>
      </w:r>
      <w:r>
        <w:rPr>
          <w:rFonts w:hint="eastAsia" w:ascii="仿宋_GB2312" w:eastAsia="仿宋_GB2312"/>
          <w:sz w:val="32"/>
          <w:szCs w:val="32"/>
        </w:rPr>
        <w:t>人</w:t>
      </w:r>
      <w:r>
        <w:rPr>
          <w:rFonts w:hint="eastAsia" w:ascii="仿宋_GB2312" w:eastAsia="仿宋_GB2312"/>
          <w:sz w:val="32"/>
          <w:szCs w:val="32"/>
          <w:lang w:eastAsia="zh-CN"/>
        </w:rPr>
        <w:t>，</w:t>
      </w:r>
      <w:r>
        <w:rPr>
          <w:rFonts w:hint="eastAsia" w:ascii="仿宋_GB2312" w:eastAsia="仿宋_GB2312"/>
          <w:sz w:val="32"/>
          <w:szCs w:val="32"/>
        </w:rPr>
        <w:t>工资、</w:t>
      </w:r>
      <w:r>
        <w:rPr>
          <w:rFonts w:hint="eastAsia" w:ascii="仿宋_GB2312" w:eastAsia="仿宋_GB2312"/>
          <w:sz w:val="32"/>
          <w:szCs w:val="32"/>
          <w:lang w:val="en-US" w:eastAsia="zh-CN"/>
        </w:rPr>
        <w:t>津贴补贴、奖金等相关人员经费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学前三年保障机制</w:t>
      </w:r>
      <w:r>
        <w:rPr>
          <w:rFonts w:hint="eastAsia" w:ascii="仿宋_GB2312" w:eastAsia="仿宋_GB2312"/>
          <w:sz w:val="32"/>
          <w:szCs w:val="32"/>
          <w:lang w:val="en-US" w:eastAsia="zh-CN"/>
        </w:rPr>
        <w:t>项目</w:t>
      </w:r>
      <w:r>
        <w:rPr>
          <w:rFonts w:hint="eastAsia" w:ascii="仿宋_GB2312" w:eastAsia="仿宋_GB2312"/>
          <w:sz w:val="32"/>
          <w:szCs w:val="32"/>
        </w:rPr>
        <w:t>经费增加。与年初预算相比，年初预算数</w:t>
      </w:r>
      <w:r>
        <w:rPr>
          <w:rFonts w:hint="eastAsia" w:ascii="仿宋_GB2312" w:eastAsia="仿宋_GB2312"/>
          <w:sz w:val="32"/>
          <w:szCs w:val="32"/>
          <w:lang w:val="zh-CN"/>
        </w:rPr>
        <w:t>1,143.63</w:t>
      </w:r>
      <w:r>
        <w:rPr>
          <w:rFonts w:hint="eastAsia" w:ascii="仿宋_GB2312" w:eastAsia="仿宋_GB2312"/>
          <w:sz w:val="32"/>
          <w:szCs w:val="32"/>
        </w:rPr>
        <w:t>万元，决算数</w:t>
      </w:r>
      <w:r>
        <w:rPr>
          <w:rFonts w:hint="eastAsia" w:ascii="仿宋_GB2312" w:eastAsia="仿宋_GB2312"/>
          <w:sz w:val="32"/>
          <w:szCs w:val="32"/>
          <w:lang w:val="zh-CN"/>
        </w:rPr>
        <w:t>1,293.31</w:t>
      </w:r>
      <w:r>
        <w:rPr>
          <w:rFonts w:hint="eastAsia" w:ascii="仿宋_GB2312" w:eastAsia="仿宋_GB2312"/>
          <w:sz w:val="32"/>
          <w:szCs w:val="32"/>
        </w:rPr>
        <w:t>万元，预决算差异率</w:t>
      </w:r>
      <w:r>
        <w:rPr>
          <w:rFonts w:hint="eastAsia" w:ascii="仿宋_GB2312" w:eastAsia="仿宋_GB2312"/>
          <w:sz w:val="32"/>
          <w:szCs w:val="32"/>
          <w:lang w:val="zh-CN"/>
        </w:rPr>
        <w:t>13.09%</w:t>
      </w:r>
      <w:r>
        <w:rPr>
          <w:rFonts w:hint="eastAsia" w:ascii="仿宋_GB2312" w:eastAsia="仿宋_GB2312"/>
          <w:sz w:val="32"/>
          <w:szCs w:val="32"/>
        </w:rPr>
        <w:t>，主要原因是：年中追加学前三年保障机制项目经费</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单位本年人员增加，年中追加</w:t>
      </w:r>
      <w:r>
        <w:rPr>
          <w:rFonts w:hint="eastAsia" w:ascii="仿宋_GB2312" w:eastAsia="仿宋_GB2312"/>
          <w:sz w:val="32"/>
          <w:szCs w:val="32"/>
        </w:rPr>
        <w:t>工资、</w:t>
      </w:r>
      <w:r>
        <w:rPr>
          <w:rFonts w:hint="eastAsia" w:ascii="仿宋_GB2312" w:eastAsia="仿宋_GB2312"/>
          <w:sz w:val="32"/>
          <w:szCs w:val="32"/>
          <w:lang w:val="en-US" w:eastAsia="zh-CN"/>
        </w:rPr>
        <w:t>津贴补贴、奖金等相关人员经费</w:t>
      </w:r>
      <w:r>
        <w:rPr>
          <w:rFonts w:hint="eastAsia" w:ascii="仿宋_GB2312" w:eastAsia="仿宋_GB2312"/>
          <w:sz w:val="32"/>
          <w:szCs w:val="32"/>
        </w:rPr>
        <w:t>。</w:t>
      </w:r>
    </w:p>
    <w:p w14:paraId="5594BD84">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63754A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1,226.67</w:t>
      </w:r>
      <w:r>
        <w:rPr>
          <w:rFonts w:ascii="仿宋_GB2312" w:eastAsia="仿宋_GB2312"/>
          <w:kern w:val="2"/>
          <w:sz w:val="32"/>
          <w:szCs w:val="32"/>
          <w:lang w:val="zh-CN"/>
        </w:rPr>
        <w:t>万元，占</w:t>
      </w:r>
      <w:r>
        <w:rPr>
          <w:rFonts w:hint="eastAsia" w:ascii="仿宋_GB2312" w:eastAsia="仿宋_GB2312"/>
          <w:kern w:val="2"/>
          <w:sz w:val="32"/>
          <w:szCs w:val="32"/>
          <w:lang w:val="zh-CN"/>
        </w:rPr>
        <w:t>94.85</w:t>
      </w:r>
      <w:r>
        <w:rPr>
          <w:rFonts w:ascii="仿宋_GB2312" w:eastAsia="仿宋_GB2312"/>
          <w:kern w:val="2"/>
          <w:sz w:val="32"/>
          <w:szCs w:val="32"/>
          <w:lang w:val="zh-CN"/>
        </w:rPr>
        <w:t>%；</w:t>
      </w:r>
    </w:p>
    <w:p w14:paraId="53B88E5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66.64</w:t>
      </w:r>
      <w:r>
        <w:rPr>
          <w:rFonts w:ascii="仿宋_GB2312" w:eastAsia="仿宋_GB2312"/>
          <w:kern w:val="2"/>
          <w:sz w:val="32"/>
          <w:szCs w:val="32"/>
          <w:lang w:val="zh-CN"/>
        </w:rPr>
        <w:t>万元，占</w:t>
      </w:r>
      <w:r>
        <w:rPr>
          <w:rFonts w:hint="eastAsia" w:ascii="仿宋_GB2312" w:eastAsia="仿宋_GB2312"/>
          <w:kern w:val="2"/>
          <w:sz w:val="32"/>
          <w:szCs w:val="32"/>
          <w:lang w:val="zh-CN"/>
        </w:rPr>
        <w:t>5.15</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6A39BED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45AA455">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1.教育支出（类）教育费附加安排的支出（款）其他教育费附加安排的支出（项）:支出决算数为3.69万元，比上年决算增加3.69万元，增长100%，主要原因是：单位本年</w:t>
      </w:r>
      <w:r>
        <w:rPr>
          <w:rFonts w:hint="eastAsia" w:ascii="仿宋_GB2312" w:eastAsia="仿宋_GB2312"/>
          <w:kern w:val="2"/>
          <w:sz w:val="32"/>
          <w:szCs w:val="32"/>
          <w:lang w:val="zh-CN"/>
        </w:rPr>
        <w:t>课后服务项目经费</w:t>
      </w:r>
      <w:r>
        <w:rPr>
          <w:rFonts w:hint="eastAsia" w:ascii="仿宋_GB2312" w:eastAsia="仿宋_GB2312"/>
          <w:kern w:val="2"/>
          <w:sz w:val="32"/>
          <w:szCs w:val="32"/>
        </w:rPr>
        <w:t>增加。</w:t>
      </w:r>
    </w:p>
    <w:p w14:paraId="645F182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2.社会保障和就业支出（类）抚恤（款）死亡抚恤（项）:支出决算数为12.43万元，比上年决算增加0.5</w:t>
      </w:r>
      <w:r>
        <w:rPr>
          <w:rFonts w:hint="eastAsia" w:ascii="仿宋_GB2312" w:eastAsia="仿宋_GB2312"/>
          <w:kern w:val="2"/>
          <w:sz w:val="32"/>
          <w:szCs w:val="32"/>
          <w:lang w:val="en-US" w:eastAsia="zh-CN"/>
        </w:rPr>
        <w:t>5</w:t>
      </w:r>
      <w:r>
        <w:rPr>
          <w:rFonts w:hint="eastAsia" w:ascii="仿宋_GB2312" w:eastAsia="仿宋_GB2312"/>
          <w:kern w:val="2"/>
          <w:sz w:val="32"/>
          <w:szCs w:val="32"/>
        </w:rPr>
        <w:t>万元，增长4.6</w:t>
      </w:r>
      <w:r>
        <w:rPr>
          <w:rFonts w:hint="eastAsia" w:ascii="仿宋_GB2312" w:eastAsia="仿宋_GB2312"/>
          <w:kern w:val="2"/>
          <w:sz w:val="32"/>
          <w:szCs w:val="32"/>
          <w:lang w:val="en-US" w:eastAsia="zh-CN"/>
        </w:rPr>
        <w:t>3</w:t>
      </w:r>
      <w:r>
        <w:rPr>
          <w:rFonts w:hint="eastAsia" w:ascii="仿宋_GB2312" w:eastAsia="仿宋_GB2312"/>
          <w:kern w:val="2"/>
          <w:sz w:val="32"/>
          <w:szCs w:val="32"/>
        </w:rPr>
        <w:t>%，主要原因是：单位本年人员丧葬费、抚恤金补助较上年增加</w:t>
      </w:r>
      <w:r>
        <w:rPr>
          <w:rFonts w:hint="eastAsia" w:eastAsia="仿宋_GB2312"/>
          <w:sz w:val="32"/>
          <w:szCs w:val="32"/>
          <w:lang w:val="zh-CN"/>
        </w:rPr>
        <w:t>。</w:t>
      </w:r>
    </w:p>
    <w:p w14:paraId="2F2DC69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3.教育支出（类）普通教育（款）小学教育（项）:支出决算数为979.49万元，比上年决算增加49.73万元，增长5.35%，主要原因是：</w:t>
      </w:r>
      <w:r>
        <w:rPr>
          <w:rFonts w:hint="eastAsia" w:ascii="仿宋_GB2312" w:eastAsia="仿宋_GB2312"/>
          <w:sz w:val="32"/>
          <w:szCs w:val="32"/>
          <w:lang w:val="en-US" w:eastAsia="zh-CN"/>
        </w:rPr>
        <w:t>本年</w:t>
      </w:r>
      <w:r>
        <w:rPr>
          <w:rFonts w:hint="eastAsia" w:ascii="仿宋_GB2312" w:eastAsia="仿宋_GB2312"/>
          <w:sz w:val="32"/>
          <w:szCs w:val="32"/>
        </w:rPr>
        <w:t>学校合并</w:t>
      </w:r>
      <w:r>
        <w:rPr>
          <w:rFonts w:hint="eastAsia" w:ascii="仿宋_GB2312" w:eastAsia="仿宋_GB2312"/>
          <w:sz w:val="32"/>
          <w:szCs w:val="32"/>
          <w:lang w:eastAsia="zh-CN"/>
        </w:rPr>
        <w:t>，</w:t>
      </w:r>
      <w:r>
        <w:rPr>
          <w:rFonts w:hint="eastAsia" w:ascii="仿宋_GB2312" w:eastAsia="仿宋_GB2312"/>
          <w:sz w:val="32"/>
          <w:szCs w:val="32"/>
        </w:rPr>
        <w:t>调入教师</w:t>
      </w:r>
      <w:r>
        <w:rPr>
          <w:rFonts w:ascii="仿宋_GB2312" w:eastAsia="仿宋_GB2312"/>
          <w:sz w:val="32"/>
          <w:szCs w:val="32"/>
        </w:rPr>
        <w:t>4</w:t>
      </w:r>
      <w:r>
        <w:rPr>
          <w:rFonts w:hint="eastAsia" w:ascii="仿宋_GB2312" w:eastAsia="仿宋_GB2312"/>
          <w:sz w:val="32"/>
          <w:szCs w:val="32"/>
        </w:rPr>
        <w:t>人</w:t>
      </w:r>
      <w:r>
        <w:rPr>
          <w:rFonts w:hint="eastAsia" w:ascii="仿宋_GB2312" w:eastAsia="仿宋_GB2312"/>
          <w:sz w:val="32"/>
          <w:szCs w:val="32"/>
          <w:lang w:eastAsia="zh-CN"/>
        </w:rPr>
        <w:t>，</w:t>
      </w:r>
      <w:r>
        <w:rPr>
          <w:rFonts w:hint="eastAsia" w:ascii="仿宋_GB2312" w:eastAsia="仿宋_GB2312"/>
          <w:sz w:val="32"/>
          <w:szCs w:val="32"/>
        </w:rPr>
        <w:t>工资、</w:t>
      </w:r>
      <w:r>
        <w:rPr>
          <w:rFonts w:hint="eastAsia" w:ascii="仿宋_GB2312" w:eastAsia="仿宋_GB2312"/>
          <w:sz w:val="32"/>
          <w:szCs w:val="32"/>
          <w:lang w:val="en-US" w:eastAsia="zh-CN"/>
        </w:rPr>
        <w:t>津贴补贴、奖金等相关人员经费</w:t>
      </w:r>
      <w:r>
        <w:rPr>
          <w:rFonts w:hint="eastAsia" w:ascii="仿宋_GB2312" w:eastAsia="仿宋_GB2312"/>
          <w:sz w:val="32"/>
          <w:szCs w:val="32"/>
        </w:rPr>
        <w:t>增加。</w:t>
      </w:r>
    </w:p>
    <w:p w14:paraId="0A285A76">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4.社会保障和就业支出（类）行政事业单位养老支出（款）事业单位离退休（项）:支出决算数为26.72万元，比上年决算增加16.03万元，增长1</w:t>
      </w:r>
      <w:r>
        <w:rPr>
          <w:rFonts w:hint="eastAsia" w:ascii="仿宋_GB2312" w:eastAsia="仿宋_GB2312"/>
          <w:sz w:val="32"/>
          <w:szCs w:val="32"/>
          <w:lang w:val="en-US" w:eastAsia="zh-CN"/>
        </w:rPr>
        <w:t>49</w:t>
      </w:r>
      <w:r>
        <w:rPr>
          <w:rFonts w:hint="eastAsia" w:ascii="仿宋_GB2312" w:eastAsia="仿宋_GB2312"/>
          <w:sz w:val="32"/>
          <w:szCs w:val="32"/>
        </w:rPr>
        <w:t>.</w:t>
      </w:r>
      <w:r>
        <w:rPr>
          <w:rFonts w:hint="eastAsia" w:ascii="仿宋_GB2312" w:eastAsia="仿宋_GB2312"/>
          <w:sz w:val="32"/>
          <w:szCs w:val="32"/>
          <w:lang w:val="en-US" w:eastAsia="zh-CN"/>
        </w:rPr>
        <w:t>95</w:t>
      </w:r>
      <w:r>
        <w:rPr>
          <w:rFonts w:hint="eastAsia" w:ascii="仿宋_GB2312" w:eastAsia="仿宋_GB2312"/>
          <w:sz w:val="32"/>
          <w:szCs w:val="32"/>
        </w:rPr>
        <w:t>%，主要原因是：本年退休人员增加，退休人员取暖费、交通补助费用增加</w:t>
      </w:r>
      <w:r>
        <w:rPr>
          <w:rFonts w:hint="eastAsia" w:ascii="仿宋_GB2312" w:eastAsia="仿宋_GB2312"/>
          <w:sz w:val="32"/>
          <w:szCs w:val="32"/>
          <w:lang w:val="zh-CN"/>
        </w:rPr>
        <w:t>。</w:t>
      </w:r>
    </w:p>
    <w:p w14:paraId="49231EE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5.教育支出（类）普通教育（款）学前教育（项）:支出决算数为243.49万元，比上年决算增加73.79万元，增长43.48%，主要原因是：</w:t>
      </w:r>
      <w:r>
        <w:rPr>
          <w:rFonts w:hint="eastAsia" w:ascii="仿宋_GB2312" w:eastAsia="仿宋_GB2312"/>
          <w:sz w:val="32"/>
          <w:szCs w:val="32"/>
          <w:lang w:val="en-US" w:eastAsia="zh-CN"/>
        </w:rPr>
        <w:t>本年</w:t>
      </w:r>
      <w:r>
        <w:rPr>
          <w:rFonts w:hint="eastAsia" w:ascii="仿宋_GB2312" w:eastAsia="仿宋_GB2312"/>
          <w:sz w:val="32"/>
          <w:szCs w:val="32"/>
        </w:rPr>
        <w:t>学校合并</w:t>
      </w:r>
      <w:r>
        <w:rPr>
          <w:rFonts w:hint="eastAsia" w:ascii="仿宋_GB2312" w:eastAsia="仿宋_GB2312"/>
          <w:sz w:val="32"/>
          <w:szCs w:val="32"/>
          <w:lang w:eastAsia="zh-CN"/>
        </w:rPr>
        <w:t>，</w:t>
      </w:r>
      <w:r>
        <w:rPr>
          <w:rFonts w:hint="eastAsia" w:ascii="仿宋_GB2312" w:eastAsia="仿宋_GB2312"/>
          <w:sz w:val="32"/>
          <w:szCs w:val="32"/>
        </w:rPr>
        <w:t>调入教师</w:t>
      </w:r>
      <w:r>
        <w:rPr>
          <w:rFonts w:ascii="仿宋_GB2312" w:eastAsia="仿宋_GB2312"/>
          <w:sz w:val="32"/>
          <w:szCs w:val="32"/>
        </w:rPr>
        <w:t>4</w:t>
      </w:r>
      <w:r>
        <w:rPr>
          <w:rFonts w:hint="eastAsia" w:ascii="仿宋_GB2312" w:eastAsia="仿宋_GB2312"/>
          <w:sz w:val="32"/>
          <w:szCs w:val="32"/>
        </w:rPr>
        <w:t>人</w:t>
      </w:r>
      <w:r>
        <w:rPr>
          <w:rFonts w:hint="eastAsia" w:ascii="仿宋_GB2312" w:eastAsia="仿宋_GB2312"/>
          <w:sz w:val="32"/>
          <w:szCs w:val="32"/>
          <w:lang w:eastAsia="zh-CN"/>
        </w:rPr>
        <w:t>，</w:t>
      </w:r>
      <w:r>
        <w:rPr>
          <w:rFonts w:hint="eastAsia" w:ascii="仿宋_GB2312" w:eastAsia="仿宋_GB2312"/>
          <w:sz w:val="32"/>
          <w:szCs w:val="32"/>
        </w:rPr>
        <w:t>工资、</w:t>
      </w:r>
      <w:r>
        <w:rPr>
          <w:rFonts w:hint="eastAsia" w:ascii="仿宋_GB2312" w:eastAsia="仿宋_GB2312"/>
          <w:sz w:val="32"/>
          <w:szCs w:val="32"/>
          <w:lang w:val="en-US" w:eastAsia="zh-CN"/>
        </w:rPr>
        <w:t>津贴补贴、奖金等相关人员经费</w:t>
      </w:r>
      <w:r>
        <w:rPr>
          <w:rFonts w:hint="eastAsia" w:ascii="仿宋_GB2312" w:eastAsia="仿宋_GB2312"/>
          <w:sz w:val="32"/>
          <w:szCs w:val="32"/>
        </w:rPr>
        <w:t>增加。</w:t>
      </w:r>
    </w:p>
    <w:p w14:paraId="63659367">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6.社会保障和就业支出（类）行政事业单位养老支出（款）机关事业单位职业年金缴费支出（项）:支出决算数为27.49万元，比上年决算增加7.69万元，增长38.8</w:t>
      </w:r>
      <w:r>
        <w:rPr>
          <w:rFonts w:hint="eastAsia" w:ascii="仿宋_GB2312" w:eastAsia="仿宋_GB2312"/>
          <w:kern w:val="2"/>
          <w:sz w:val="32"/>
          <w:szCs w:val="32"/>
          <w:lang w:val="en-US" w:eastAsia="zh-CN"/>
        </w:rPr>
        <w:t>4</w:t>
      </w:r>
      <w:r>
        <w:rPr>
          <w:rFonts w:hint="eastAsia" w:ascii="仿宋_GB2312" w:eastAsia="仿宋_GB2312"/>
          <w:kern w:val="2"/>
          <w:sz w:val="32"/>
          <w:szCs w:val="32"/>
        </w:rPr>
        <w:t>%，主要原因是：单位本年退休人员增加，职业年金缴费增加。</w:t>
      </w:r>
    </w:p>
    <w:p w14:paraId="4AD4D08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7.教育支出（类）教育费附加安排的支出（款）农村中小学校舍建设（项）:支出决算数为0.00万元，比上年决算减少8.40万元，下降100%，主要原因是：单位本年减少</w:t>
      </w:r>
      <w:r>
        <w:rPr>
          <w:rFonts w:hint="eastAsia" w:ascii="仿宋_GB2312" w:eastAsia="仿宋_GB2312"/>
          <w:kern w:val="2"/>
          <w:sz w:val="32"/>
          <w:szCs w:val="32"/>
          <w:lang w:val="en-US" w:eastAsia="zh-CN"/>
        </w:rPr>
        <w:t>校园校舍</w:t>
      </w:r>
      <w:r>
        <w:rPr>
          <w:rFonts w:hint="eastAsia" w:ascii="仿宋_GB2312" w:eastAsia="仿宋_GB2312"/>
          <w:kern w:val="2"/>
          <w:sz w:val="32"/>
          <w:szCs w:val="32"/>
        </w:rPr>
        <w:t>维修</w:t>
      </w:r>
      <w:r>
        <w:rPr>
          <w:rFonts w:hint="eastAsia" w:ascii="仿宋_GB2312" w:eastAsia="仿宋_GB2312"/>
          <w:kern w:val="2"/>
          <w:sz w:val="32"/>
          <w:szCs w:val="32"/>
          <w:lang w:val="en-US" w:eastAsia="zh-CN"/>
        </w:rPr>
        <w:t>改造</w:t>
      </w:r>
      <w:r>
        <w:rPr>
          <w:rFonts w:hint="eastAsia" w:ascii="仿宋_GB2312" w:eastAsia="仿宋_GB2312"/>
          <w:kern w:val="2"/>
          <w:sz w:val="32"/>
          <w:szCs w:val="32"/>
        </w:rPr>
        <w:t>项目</w:t>
      </w:r>
      <w:r>
        <w:rPr>
          <w:rFonts w:hint="eastAsia" w:ascii="仿宋_GB2312" w:eastAsia="仿宋_GB2312"/>
          <w:kern w:val="2"/>
          <w:sz w:val="32"/>
          <w:szCs w:val="32"/>
          <w:lang w:val="en-US" w:eastAsia="zh-CN"/>
        </w:rPr>
        <w:t>经费</w:t>
      </w:r>
      <w:r>
        <w:rPr>
          <w:rFonts w:hint="eastAsia" w:ascii="仿宋_GB2312" w:eastAsia="仿宋_GB2312"/>
          <w:kern w:val="2"/>
          <w:sz w:val="32"/>
          <w:szCs w:val="32"/>
          <w:lang w:val="zh-CN"/>
        </w:rPr>
        <w:t>。</w:t>
      </w:r>
    </w:p>
    <w:p w14:paraId="61518DE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8.教育支出（类）教育费附加安排的支出（款）农村中小学教学设施（项）:支出决算数为0.00万元，比上年决算减少1.07万元，下降100%，主要原因是：单位本年减少</w:t>
      </w:r>
      <w:r>
        <w:rPr>
          <w:rFonts w:hint="eastAsia" w:ascii="仿宋_GB2312" w:eastAsia="仿宋_GB2312"/>
          <w:kern w:val="2"/>
          <w:sz w:val="32"/>
          <w:szCs w:val="32"/>
          <w:lang w:val="en-US" w:eastAsia="zh-CN"/>
        </w:rPr>
        <w:t>小学校园日常活动</w:t>
      </w:r>
      <w:r>
        <w:rPr>
          <w:rFonts w:hint="eastAsia" w:ascii="仿宋_GB2312" w:eastAsia="仿宋_GB2312"/>
          <w:kern w:val="2"/>
          <w:sz w:val="32"/>
          <w:szCs w:val="32"/>
        </w:rPr>
        <w:t>办公费</w:t>
      </w:r>
      <w:r>
        <w:rPr>
          <w:rFonts w:hint="eastAsia" w:ascii="仿宋_GB2312" w:eastAsia="仿宋_GB2312"/>
          <w:kern w:val="2"/>
          <w:sz w:val="32"/>
          <w:szCs w:val="32"/>
          <w:lang w:val="zh-CN"/>
        </w:rPr>
        <w:t>。</w:t>
      </w:r>
    </w:p>
    <w:p w14:paraId="10BDF19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1E94448">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2023年度一般公共预算财政拨款基本支出1,075.36万元，其中：人员经费1,037.93万元，包括：基本工资、津贴补贴、奖金、机关事业单位基本养老保险缴费、职业年金缴费、职工基本医疗保险缴费、其他社会保障缴费、住房公积金、退休费、生活补助、奖励金、其他对个人和家庭的补助。</w:t>
      </w:r>
    </w:p>
    <w:p w14:paraId="4CED5A9E">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公用经费37.43万元，包括：办公费、电费、邮电费、取暖费、专用材料费、公务用车运行维护费。</w:t>
      </w:r>
    </w:p>
    <w:p w14:paraId="48BA3EC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C07614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“三公”经费支出0.30万元，</w:t>
      </w:r>
      <w:r>
        <w:rPr>
          <w:rFonts w:hint="eastAsia" w:ascii="仿宋_GB2312" w:eastAsia="仿宋_GB2312"/>
          <w:sz w:val="32"/>
          <w:szCs w:val="32"/>
        </w:rPr>
        <w:t>比上年</w:t>
      </w:r>
      <w:r>
        <w:rPr>
          <w:rFonts w:hint="eastAsia" w:ascii="仿宋_GB2312" w:eastAsia="仿宋_GB2312"/>
          <w:sz w:val="32"/>
          <w:szCs w:val="32"/>
          <w:lang w:val="zh-CN"/>
        </w:rPr>
        <w:t>减少0.59万元，</w:t>
      </w:r>
      <w:r>
        <w:rPr>
          <w:rFonts w:hint="eastAsia" w:ascii="仿宋_GB2312" w:eastAsia="仿宋_GB2312"/>
          <w:sz w:val="32"/>
          <w:szCs w:val="32"/>
        </w:rPr>
        <w:t>下降66.29%,</w:t>
      </w:r>
      <w:r>
        <w:rPr>
          <w:rFonts w:hint="eastAsia" w:ascii="仿宋_GB2312" w:eastAsia="仿宋_GB2312"/>
          <w:sz w:val="32"/>
          <w:szCs w:val="32"/>
          <w:lang w:val="zh-CN"/>
        </w:rPr>
        <w:t>主要原因是：本年车辆使用</w:t>
      </w:r>
      <w:r>
        <w:rPr>
          <w:rFonts w:hint="eastAsia" w:ascii="仿宋_GB2312" w:eastAsia="仿宋_GB2312"/>
          <w:sz w:val="32"/>
          <w:szCs w:val="32"/>
          <w:lang w:val="en-US" w:eastAsia="zh-CN"/>
        </w:rPr>
        <w:t>次数</w:t>
      </w:r>
      <w:r>
        <w:rPr>
          <w:rFonts w:hint="eastAsia" w:ascii="仿宋_GB2312" w:eastAsia="仿宋_GB2312"/>
          <w:sz w:val="32"/>
          <w:szCs w:val="32"/>
        </w:rPr>
        <w:t>减少</w:t>
      </w:r>
      <w:r>
        <w:rPr>
          <w:rFonts w:hint="eastAsia" w:ascii="仿宋_GB2312" w:eastAsia="仿宋_GB2312"/>
          <w:sz w:val="32"/>
          <w:szCs w:val="32"/>
          <w:lang w:val="zh-CN"/>
        </w:rPr>
        <w:t>，车辆燃油费、过路费</w:t>
      </w:r>
      <w:r>
        <w:rPr>
          <w:rFonts w:hint="eastAsia" w:ascii="仿宋_GB2312" w:eastAsia="仿宋_GB2312"/>
          <w:sz w:val="32"/>
          <w:szCs w:val="32"/>
        </w:rPr>
        <w:t>减少</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主要原因是：单位本年无此项经费；公务用车购置及运行维护费支出0.30万元，占100.00%，比上年减少0.59万元，</w:t>
      </w:r>
      <w:r>
        <w:rPr>
          <w:rFonts w:hint="eastAsia" w:ascii="仿宋_GB2312" w:eastAsia="仿宋_GB2312"/>
          <w:sz w:val="32"/>
          <w:szCs w:val="32"/>
        </w:rPr>
        <w:t>下降66.29%,</w:t>
      </w:r>
      <w:r>
        <w:rPr>
          <w:rFonts w:hint="eastAsia" w:ascii="仿宋_GB2312" w:eastAsia="仿宋_GB2312"/>
          <w:sz w:val="32"/>
          <w:szCs w:val="32"/>
          <w:lang w:val="zh-CN"/>
        </w:rPr>
        <w:t>主要原因是：本年车辆使用</w:t>
      </w:r>
      <w:r>
        <w:rPr>
          <w:rFonts w:hint="eastAsia" w:ascii="仿宋_GB2312" w:eastAsia="仿宋_GB2312"/>
          <w:sz w:val="32"/>
          <w:szCs w:val="32"/>
          <w:lang w:val="en-US" w:eastAsia="zh-CN"/>
        </w:rPr>
        <w:t>次数</w:t>
      </w:r>
      <w:r>
        <w:rPr>
          <w:rFonts w:hint="eastAsia" w:ascii="仿宋_GB2312" w:eastAsia="仿宋_GB2312"/>
          <w:sz w:val="32"/>
          <w:szCs w:val="32"/>
        </w:rPr>
        <w:t>减少</w:t>
      </w:r>
      <w:r>
        <w:rPr>
          <w:rFonts w:hint="eastAsia" w:ascii="仿宋_GB2312" w:eastAsia="仿宋_GB2312"/>
          <w:sz w:val="32"/>
          <w:szCs w:val="32"/>
          <w:lang w:val="zh-CN"/>
        </w:rPr>
        <w:t>，车辆燃油费、过路费</w:t>
      </w:r>
      <w:r>
        <w:rPr>
          <w:rFonts w:hint="eastAsia" w:ascii="仿宋_GB2312" w:eastAsia="仿宋_GB2312"/>
          <w:sz w:val="32"/>
          <w:szCs w:val="32"/>
        </w:rPr>
        <w:t>减少</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322B22A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BDE30C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5602D5CE">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0.30万元，其中：公务用车购置费0.00万元，公务用车运行维护费0.30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45D1158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0134BAA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预算数0.30万元，决算数0.30万元，预决算差异率0.00%，主要原因是：严格按预算执行，预决算对比无差异。其中：因公出国（境）费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预算数0.30万元，决算数0.30万元，预决算差异率0.00%，主要原因是：严格按预算执行，预决算对比无差异；公务接待费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5EE8AEB8">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F83A8D5">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18F0A61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3213286">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B9C1AEC">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7EC173D9">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E863ACD">
      <w:pPr>
        <w:ind w:firstLine="640" w:firstLineChars="200"/>
        <w:jc w:val="left"/>
        <w:rPr>
          <w:rFonts w:hint="eastAsia" w:ascii="仿宋_GB2312" w:hAnsi="仿宋_GB2312" w:eastAsia="仿宋_GB2312" w:cs="仿宋_GB2312"/>
          <w:kern w:val="0"/>
          <w:sz w:val="32"/>
          <w:szCs w:val="32"/>
        </w:rPr>
      </w:pPr>
      <w:bookmarkStart w:id="24" w:name="_Toc227"/>
      <w:bookmarkStart w:id="25" w:name="_Toc26704"/>
      <w:r>
        <w:rPr>
          <w:rFonts w:hint="eastAsia" w:ascii="仿宋_GB2312" w:hAnsi="仿宋_GB2312" w:eastAsia="仿宋_GB2312" w:cs="仿宋_GB2312"/>
          <w:kern w:val="0"/>
          <w:sz w:val="32"/>
          <w:szCs w:val="32"/>
          <w:lang w:val="zh-CN"/>
        </w:rPr>
        <w:t>2023年度</w:t>
      </w:r>
      <w:r>
        <w:rPr>
          <w:rFonts w:hint="eastAsia" w:ascii="仿宋_GB2312" w:hAnsi="仿宋_GB2312" w:eastAsia="仿宋_GB2312" w:cs="仿宋_GB2312"/>
          <w:kern w:val="0"/>
          <w:sz w:val="32"/>
          <w:szCs w:val="32"/>
        </w:rPr>
        <w:t>木垒哈萨克自治县新户镇中心学校（事业单位）公用经费支出37.43万元，</w:t>
      </w:r>
      <w:r>
        <w:rPr>
          <w:rFonts w:hint="eastAsia" w:ascii="仿宋_GB2312" w:hAnsi="仿宋_GB2312" w:eastAsia="仿宋_GB2312" w:cs="仿宋_GB2312"/>
          <w:kern w:val="0"/>
          <w:sz w:val="32"/>
          <w:szCs w:val="32"/>
          <w:lang w:val="zh-CN"/>
        </w:rPr>
        <w:t>比上年减少1.27万元，下降3.28%，主要原因是：</w:t>
      </w:r>
      <w:r>
        <w:rPr>
          <w:rFonts w:hint="eastAsia" w:ascii="仿宋_GB2312" w:hAnsi="仿宋_GB2312" w:eastAsia="仿宋_GB2312" w:cs="仿宋_GB2312"/>
          <w:kern w:val="0"/>
          <w:sz w:val="32"/>
          <w:szCs w:val="32"/>
        </w:rPr>
        <w:t>单位本年</w:t>
      </w:r>
      <w:r>
        <w:rPr>
          <w:rFonts w:hint="eastAsia" w:ascii="仿宋_GB2312" w:eastAsia="仿宋_GB2312"/>
          <w:sz w:val="32"/>
          <w:szCs w:val="32"/>
        </w:rPr>
        <w:t>办公费、专用材料费、公务用车运行维护费减少</w:t>
      </w:r>
      <w:r>
        <w:rPr>
          <w:rFonts w:hint="eastAsia" w:ascii="仿宋_GB2312" w:hAnsi="仿宋_GB2312" w:eastAsia="仿宋_GB2312" w:cs="仿宋_GB2312"/>
          <w:kern w:val="0"/>
          <w:sz w:val="32"/>
          <w:szCs w:val="32"/>
        </w:rPr>
        <w:t>。</w:t>
      </w:r>
    </w:p>
    <w:p w14:paraId="5E8AA4C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7DFA1F6">
      <w:pPr>
        <w:ind w:firstLine="640" w:firstLineChars="200"/>
        <w:jc w:val="left"/>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lang w:val="zh-CN"/>
        </w:rPr>
        <w:t>2023年度政府采购支出总额0.00万元，其中：政府采购货物支出0.00万元、政府采购工程支出0.00万元、政府采购服务支出0.00万元。</w:t>
      </w:r>
    </w:p>
    <w:p w14:paraId="29551B0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zh-CN"/>
        </w:rPr>
        <w:t>授予中小企业合同金额0.00万元，占政府采购支出总额的0.00</w:t>
      </w:r>
      <w:r>
        <w:rPr>
          <w:rFonts w:ascii="仿宋_GB2312" w:hAnsi="仿宋_GB2312" w:eastAsia="仿宋_GB2312" w:cs="仿宋_GB2312"/>
          <w:kern w:val="0"/>
          <w:sz w:val="32"/>
          <w:szCs w:val="32"/>
          <w:lang w:val="zh-CN"/>
        </w:rPr>
        <w:t>%</w:t>
      </w:r>
      <w:r>
        <w:rPr>
          <w:rFonts w:hint="eastAsia" w:ascii="仿宋_GB2312" w:hAnsi="仿宋_GB2312" w:eastAsia="仿宋_GB2312" w:cs="仿宋_GB2312"/>
          <w:kern w:val="0"/>
          <w:sz w:val="32"/>
          <w:szCs w:val="32"/>
          <w:lang w:val="zh-CN"/>
        </w:rPr>
        <w:t>，其中：授予小微企业合同金额0.00万元，占政府采购支出总额的0.00</w:t>
      </w:r>
      <w:r>
        <w:rPr>
          <w:rFonts w:ascii="仿宋_GB2312" w:hAnsi="仿宋_GB2312" w:eastAsia="仿宋_GB2312" w:cs="仿宋_GB2312"/>
          <w:kern w:val="0"/>
          <w:sz w:val="32"/>
          <w:szCs w:val="32"/>
          <w:lang w:val="zh-CN"/>
        </w:rPr>
        <w:t>%</w:t>
      </w:r>
      <w:r>
        <w:rPr>
          <w:rFonts w:hint="eastAsia" w:ascii="仿宋_GB2312" w:hAnsi="仿宋_GB2312" w:eastAsia="仿宋_GB2312" w:cs="仿宋_GB2312"/>
          <w:kern w:val="0"/>
          <w:sz w:val="32"/>
          <w:szCs w:val="32"/>
        </w:rPr>
        <w:t>。</w:t>
      </w:r>
    </w:p>
    <w:p w14:paraId="40FAD261">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7165B039">
      <w:pPr>
        <w:ind w:firstLine="640" w:firstLineChars="200"/>
        <w:jc w:val="left"/>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rPr>
        <w:t>截至2023</w:t>
      </w:r>
      <w:r>
        <w:rPr>
          <w:rFonts w:hint="eastAsia" w:ascii="仿宋_GB2312" w:hAnsi="仿宋_GB2312" w:eastAsia="仿宋_GB2312" w:cs="仿宋_GB2312"/>
          <w:kern w:val="0"/>
          <w:sz w:val="32"/>
          <w:szCs w:val="32"/>
          <w:lang w:val="zh-CN"/>
        </w:rPr>
        <w:t>年</w:t>
      </w:r>
      <w:r>
        <w:rPr>
          <w:rFonts w:hint="eastAsia" w:ascii="仿宋_GB2312" w:hAnsi="仿宋_GB2312" w:eastAsia="仿宋_GB2312" w:cs="仿宋_GB2312"/>
          <w:kern w:val="0"/>
          <w:sz w:val="32"/>
          <w:szCs w:val="32"/>
        </w:rPr>
        <w:t>12月31日</w:t>
      </w:r>
      <w:r>
        <w:rPr>
          <w:rFonts w:hint="eastAsia" w:ascii="仿宋_GB2312" w:hAnsi="仿宋_GB2312" w:eastAsia="仿宋_GB2312" w:cs="仿宋_GB2312"/>
          <w:kern w:val="0"/>
          <w:sz w:val="32"/>
          <w:szCs w:val="32"/>
          <w:lang w:val="zh-CN"/>
        </w:rPr>
        <w:t>，</w:t>
      </w:r>
      <w:r>
        <w:rPr>
          <w:rFonts w:hint="eastAsia" w:ascii="仿宋_GB2312" w:hAnsi="仿宋_GB2312" w:eastAsia="仿宋_GB2312" w:cs="仿宋_GB2312"/>
          <w:kern w:val="0"/>
          <w:sz w:val="32"/>
          <w:szCs w:val="32"/>
        </w:rPr>
        <w:t>固定资产原值</w:t>
      </w:r>
      <w:r>
        <w:rPr>
          <w:rFonts w:hint="eastAsia" w:ascii="仿宋_GB2312" w:hAnsi="仿宋_GB2312" w:eastAsia="仿宋_GB2312" w:cs="仿宋_GB2312"/>
          <w:kern w:val="0"/>
          <w:sz w:val="32"/>
          <w:szCs w:val="32"/>
          <w:lang w:val="zh-CN"/>
        </w:rPr>
        <w:t>1,895.93</w:t>
      </w:r>
      <w:r>
        <w:rPr>
          <w:rFonts w:hint="eastAsia" w:ascii="仿宋_GB2312" w:hAnsi="仿宋_GB2312" w:eastAsia="仿宋_GB2312" w:cs="仿宋_GB2312"/>
          <w:kern w:val="0"/>
          <w:sz w:val="32"/>
          <w:szCs w:val="32"/>
        </w:rPr>
        <w:t>万元，房</w:t>
      </w:r>
      <w:r>
        <w:rPr>
          <w:rFonts w:hint="eastAsia" w:ascii="仿宋_GB2312" w:hAnsi="仿宋_GB2312" w:eastAsia="仿宋_GB2312" w:cs="仿宋_GB2312"/>
          <w:kern w:val="0"/>
          <w:sz w:val="32"/>
          <w:szCs w:val="32"/>
          <w:lang w:val="zh-CN"/>
        </w:rPr>
        <w:t>屋8</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zh-CN"/>
        </w:rPr>
        <w:t>349.5</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lang w:val="zh-CN"/>
        </w:rPr>
        <w:t>平方米，价值1,639.05万元。车辆1辆，价值9.28万元，其中：副部（省）级及以上领导用车0辆、主要</w:t>
      </w:r>
      <w:r>
        <w:rPr>
          <w:rFonts w:hint="eastAsia" w:ascii="仿宋_GB2312" w:hAnsi="仿宋_GB2312" w:eastAsia="仿宋_GB2312" w:cs="仿宋_GB2312"/>
          <w:kern w:val="0"/>
          <w:sz w:val="32"/>
          <w:szCs w:val="32"/>
        </w:rPr>
        <w:t>负责人</w:t>
      </w:r>
      <w:r>
        <w:rPr>
          <w:rFonts w:hint="eastAsia" w:ascii="仿宋_GB2312" w:hAnsi="仿宋_GB2312" w:eastAsia="仿宋_GB2312" w:cs="仿宋_GB2312"/>
          <w:kern w:val="0"/>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kern w:val="0"/>
          <w:sz w:val="32"/>
          <w:szCs w:val="32"/>
        </w:rPr>
        <w:t>服务</w:t>
      </w:r>
      <w:r>
        <w:rPr>
          <w:rFonts w:hint="eastAsia" w:ascii="仿宋_GB2312" w:hAnsi="仿宋_GB2312" w:eastAsia="仿宋_GB2312" w:cs="仿宋_GB2312"/>
          <w:kern w:val="0"/>
          <w:sz w:val="32"/>
          <w:szCs w:val="32"/>
          <w:lang w:val="zh-CN"/>
        </w:rPr>
        <w:t>用车0辆、其他用车1辆，其他用车主要是：</w:t>
      </w:r>
      <w:r>
        <w:rPr>
          <w:rFonts w:hint="eastAsia" w:ascii="仿宋_GB2312" w:hAnsi="仿宋_GB2312" w:eastAsia="仿宋_GB2312" w:cs="仿宋_GB2312"/>
          <w:kern w:val="0"/>
          <w:sz w:val="32"/>
          <w:szCs w:val="32"/>
        </w:rPr>
        <w:t>单位业务用车</w:t>
      </w:r>
      <w:r>
        <w:rPr>
          <w:rFonts w:hint="eastAsia" w:ascii="仿宋_GB2312" w:hAnsi="仿宋_GB2312" w:eastAsia="仿宋_GB2312" w:cs="仿宋_GB2312"/>
          <w:kern w:val="0"/>
          <w:sz w:val="32"/>
          <w:szCs w:val="32"/>
          <w:lang w:val="zh-CN"/>
        </w:rPr>
        <w:t>；单价100万元（含）以上设备（不含车辆）0</w:t>
      </w:r>
      <w:r>
        <w:rPr>
          <w:rFonts w:hint="eastAsia" w:ascii="仿宋_GB2312" w:hAnsi="仿宋_GB2312" w:eastAsia="仿宋_GB2312" w:cs="仿宋_GB2312"/>
          <w:kern w:val="0"/>
          <w:sz w:val="32"/>
          <w:szCs w:val="32"/>
        </w:rPr>
        <w:t>台（</w:t>
      </w:r>
      <w:r>
        <w:rPr>
          <w:rFonts w:hint="eastAsia" w:ascii="仿宋_GB2312" w:hAnsi="仿宋_GB2312" w:eastAsia="仿宋_GB2312" w:cs="仿宋_GB2312"/>
          <w:kern w:val="0"/>
          <w:sz w:val="32"/>
          <w:szCs w:val="32"/>
          <w:lang w:val="zh-CN"/>
        </w:rPr>
        <w:t>套）。</w:t>
      </w:r>
    </w:p>
    <w:p w14:paraId="65266481">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0CEA94FD">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预算总额1,317.47万元，实际执行总</w:t>
      </w:r>
      <w:r>
        <w:rPr>
          <w:rFonts w:hint="eastAsia" w:ascii="仿宋_GB2312" w:hAnsi="仿宋_GB2312" w:eastAsia="仿宋_GB2312" w:cs="仿宋_GB2312"/>
          <w:kern w:val="0"/>
          <w:sz w:val="32"/>
          <w:szCs w:val="32"/>
        </w:rPr>
        <w:t>额1,298.31万元；</w:t>
      </w:r>
      <w:r>
        <w:rPr>
          <w:rFonts w:hint="eastAsia" w:ascii="仿宋_GB2312" w:eastAsia="仿宋_GB2312"/>
          <w:sz w:val="32"/>
          <w:szCs w:val="32"/>
        </w:rPr>
        <w:t>预算绩效评价项目0个，全年预算数0.00万元，全年执行数0.00万元。预算绩效管理取得的成效：一是我单位严格按照项目资金用途使用资金做到专款专用，达到年初预算执行率；二是充分认识到项目资金的重要性和特殊性</w:t>
      </w:r>
      <w:r>
        <w:rPr>
          <w:rFonts w:hint="eastAsia" w:ascii="仿宋_GB2312" w:eastAsia="仿宋_GB2312"/>
          <w:sz w:val="32"/>
          <w:szCs w:val="32"/>
          <w:lang w:eastAsia="zh-CN"/>
        </w:rPr>
        <w:t>，</w:t>
      </w:r>
      <w:r>
        <w:rPr>
          <w:rFonts w:hint="eastAsia" w:ascii="仿宋_GB2312" w:eastAsia="仿宋_GB2312"/>
          <w:sz w:val="32"/>
          <w:szCs w:val="32"/>
        </w:rPr>
        <w:t>以高度的责任感和使命感管好用好每一分钱</w:t>
      </w:r>
      <w:r>
        <w:rPr>
          <w:rFonts w:hint="eastAsia" w:ascii="仿宋_GB2312" w:eastAsia="仿宋_GB2312"/>
          <w:sz w:val="32"/>
          <w:szCs w:val="32"/>
          <w:lang w:eastAsia="zh-CN"/>
        </w:rPr>
        <w:t>，</w:t>
      </w:r>
      <w:r>
        <w:rPr>
          <w:rFonts w:hint="eastAsia" w:ascii="仿宋_GB2312" w:eastAsia="仿宋_GB2312"/>
          <w:sz w:val="32"/>
          <w:szCs w:val="32"/>
        </w:rPr>
        <w:t>使资金的安排、使用发挥出最大效益</w:t>
      </w:r>
      <w:r>
        <w:rPr>
          <w:rFonts w:hint="eastAsia" w:ascii="仿宋_GB2312" w:eastAsia="仿宋_GB2312"/>
          <w:sz w:val="32"/>
          <w:szCs w:val="32"/>
          <w:lang w:eastAsia="zh-CN"/>
        </w:rPr>
        <w:t>，</w:t>
      </w:r>
      <w:r>
        <w:rPr>
          <w:rFonts w:hint="eastAsia" w:ascii="仿宋_GB2312" w:eastAsia="仿宋_GB2312"/>
          <w:sz w:val="32"/>
          <w:szCs w:val="32"/>
        </w:rPr>
        <w:t>实现项目绩效目标。发现的问题及原因：一是每月绩效监控报告上报不够及时。主要是财会人员业务不够熟悉，对绩效监控的法规掌握不深不透；二是个别项目经费绩效目标有所偏差。主要是年度预算不精细精准，经费使用与工作进程脱节。下一步改进措施：一是加强单位财务管理，健全单位财务管理制度，规范单位财务行为；二是进一步加强经费使用管理，开展经费绩效监控相关教育培训，加强财务管理，严格财务审核。具体项目自评情况附绩效自评表及自评报告。</w:t>
      </w:r>
    </w:p>
    <w:tbl>
      <w:tblPr>
        <w:tblStyle w:val="9"/>
        <w:tblW w:w="5308" w:type="pct"/>
        <w:jc w:val="center"/>
        <w:tblLayout w:type="fixed"/>
        <w:tblCellMar>
          <w:top w:w="0" w:type="dxa"/>
          <w:left w:w="108" w:type="dxa"/>
          <w:bottom w:w="0" w:type="dxa"/>
          <w:right w:w="108" w:type="dxa"/>
        </w:tblCellMar>
      </w:tblPr>
      <w:tblGrid>
        <w:gridCol w:w="1584"/>
        <w:gridCol w:w="907"/>
        <w:gridCol w:w="1491"/>
        <w:gridCol w:w="1433"/>
        <w:gridCol w:w="1434"/>
        <w:gridCol w:w="955"/>
        <w:gridCol w:w="701"/>
        <w:gridCol w:w="542"/>
      </w:tblGrid>
      <w:tr w14:paraId="3FDCFD86">
        <w:tblPrEx>
          <w:tblCellMar>
            <w:top w:w="0" w:type="dxa"/>
            <w:left w:w="108" w:type="dxa"/>
            <w:bottom w:w="0" w:type="dxa"/>
            <w:right w:w="108" w:type="dxa"/>
          </w:tblCellMar>
        </w:tblPrEx>
        <w:trPr>
          <w:trHeight w:val="522" w:hRule="atLeast"/>
          <w:jc w:val="center"/>
        </w:trPr>
        <w:tc>
          <w:tcPr>
            <w:tcW w:w="9047"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265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682CB5AF">
        <w:tblPrEx>
          <w:tblCellMar>
            <w:top w:w="0" w:type="dxa"/>
            <w:left w:w="108" w:type="dxa"/>
            <w:bottom w:w="0" w:type="dxa"/>
            <w:right w:w="108" w:type="dxa"/>
          </w:tblCellMar>
        </w:tblPrEx>
        <w:trPr>
          <w:trHeight w:val="360" w:hRule="atLeast"/>
          <w:jc w:val="center"/>
        </w:trPr>
        <w:tc>
          <w:tcPr>
            <w:tcW w:w="9047"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6DA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0073436A">
        <w:tblPrEx>
          <w:tblCellMar>
            <w:top w:w="0" w:type="dxa"/>
            <w:left w:w="108" w:type="dxa"/>
            <w:bottom w:w="0" w:type="dxa"/>
            <w:right w:w="108" w:type="dxa"/>
          </w:tblCellMar>
        </w:tblPrEx>
        <w:trPr>
          <w:trHeight w:val="66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2EA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746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731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木垒哈萨克自治县新户镇中心学校</w:t>
            </w:r>
          </w:p>
        </w:tc>
      </w:tr>
      <w:tr w14:paraId="738A15E8">
        <w:tblPrEx>
          <w:tblCellMar>
            <w:top w:w="0" w:type="dxa"/>
            <w:left w:w="108" w:type="dxa"/>
            <w:bottom w:w="0" w:type="dxa"/>
            <w:right w:w="108" w:type="dxa"/>
          </w:tblCellMar>
        </w:tblPrEx>
        <w:trPr>
          <w:trHeight w:val="570" w:hRule="atLeast"/>
          <w:jc w:val="center"/>
        </w:trPr>
        <w:tc>
          <w:tcPr>
            <w:tcW w:w="15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EDDE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5EA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4A3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620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91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21F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586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3F9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19F7EEB1">
        <w:tblPrEx>
          <w:tblCellMar>
            <w:top w:w="0" w:type="dxa"/>
            <w:left w:w="108" w:type="dxa"/>
            <w:bottom w:w="0" w:type="dxa"/>
            <w:right w:w="108" w:type="dxa"/>
          </w:tblCellMar>
        </w:tblPrEx>
        <w:trPr>
          <w:trHeight w:val="882"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74B90">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A84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B88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58.14</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11A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106.32</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47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106.32</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E62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CFE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A1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D1E347A">
        <w:tblPrEx>
          <w:tblCellMar>
            <w:top w:w="0" w:type="dxa"/>
            <w:left w:w="108" w:type="dxa"/>
            <w:bottom w:w="0" w:type="dxa"/>
            <w:right w:w="108" w:type="dxa"/>
          </w:tblCellMar>
        </w:tblPrEx>
        <w:trPr>
          <w:trHeight w:val="882"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CBA44">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2A4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63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25.90</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0FE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65.51</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EA8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65.51</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F6B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0D8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1FC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429D668">
        <w:tblPrEx>
          <w:tblCellMar>
            <w:top w:w="0" w:type="dxa"/>
            <w:left w:w="108" w:type="dxa"/>
            <w:bottom w:w="0" w:type="dxa"/>
            <w:right w:w="108" w:type="dxa"/>
          </w:tblCellMar>
        </w:tblPrEx>
        <w:trPr>
          <w:trHeight w:val="882"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FFAC5">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38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DC8B0">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C394">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3F516">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E0B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FDA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8A9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C9E804F">
        <w:tblPrEx>
          <w:tblCellMar>
            <w:top w:w="0" w:type="dxa"/>
            <w:left w:w="108" w:type="dxa"/>
            <w:bottom w:w="0" w:type="dxa"/>
            <w:right w:w="108" w:type="dxa"/>
          </w:tblCellMar>
        </w:tblPrEx>
        <w:trPr>
          <w:trHeight w:val="882"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312A5">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2C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DD9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1,059.59</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34E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1,145.64</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57D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1,126.48</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7F4C">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22F68">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19219">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EC8FE46">
        <w:tblPrEx>
          <w:tblCellMar>
            <w:top w:w="0" w:type="dxa"/>
            <w:left w:w="108" w:type="dxa"/>
            <w:bottom w:w="0" w:type="dxa"/>
            <w:right w:w="108" w:type="dxa"/>
          </w:tblCellMar>
        </w:tblPrEx>
        <w:trPr>
          <w:trHeight w:val="882"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D0528">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B9A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A0C87">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98E5">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95A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9E9EE">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4C4B">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BA43F">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A66C9A5">
        <w:tblPrEx>
          <w:tblCellMar>
            <w:top w:w="0" w:type="dxa"/>
            <w:left w:w="108" w:type="dxa"/>
            <w:bottom w:w="0" w:type="dxa"/>
            <w:right w:w="108" w:type="dxa"/>
          </w:tblCellMar>
        </w:tblPrEx>
        <w:trPr>
          <w:trHeight w:val="882"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F80CC">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CE2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8CA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1,143.63</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128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1,317.47</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AC6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1,298.31</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9E9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D39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BB0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4D91714">
        <w:tblPrEx>
          <w:tblCellMar>
            <w:top w:w="0" w:type="dxa"/>
            <w:left w:w="108" w:type="dxa"/>
            <w:bottom w:w="0" w:type="dxa"/>
            <w:right w:w="108" w:type="dxa"/>
          </w:tblCellMar>
        </w:tblPrEx>
        <w:trPr>
          <w:trHeight w:val="705" w:hRule="atLeast"/>
          <w:jc w:val="center"/>
        </w:trPr>
        <w:tc>
          <w:tcPr>
            <w:tcW w:w="15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5292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8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32C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6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AA8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0F79714A">
        <w:tblPrEx>
          <w:tblCellMar>
            <w:top w:w="0" w:type="dxa"/>
            <w:left w:w="108" w:type="dxa"/>
            <w:bottom w:w="0" w:type="dxa"/>
            <w:right w:w="108" w:type="dxa"/>
          </w:tblCellMar>
        </w:tblPrEx>
        <w:trPr>
          <w:trHeight w:val="1999"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75D2A">
            <w:pPr>
              <w:jc w:val="center"/>
              <w:rPr>
                <w:rFonts w:hint="eastAsia" w:ascii="宋体" w:hAnsi="宋体" w:cs="宋体"/>
                <w:color w:val="000000"/>
                <w:sz w:val="20"/>
                <w:szCs w:val="20"/>
              </w:rPr>
            </w:pPr>
          </w:p>
        </w:tc>
        <w:tc>
          <w:tcPr>
            <w:tcW w:w="38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9DFA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目标3：按照义务教育课程计划，开齐课程，开足课时，认真实施小学的教育教学管理，全面推进素质教育，全面提高教育教学质量。</w:t>
            </w:r>
          </w:p>
        </w:tc>
        <w:tc>
          <w:tcPr>
            <w:tcW w:w="3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A6F1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截至2023年</w:t>
            </w:r>
            <w:r>
              <w:rPr>
                <w:rFonts w:hint="eastAsia" w:ascii="宋体" w:hAnsi="宋体" w:cs="宋体"/>
                <w:color w:val="000000"/>
                <w:kern w:val="0"/>
                <w:sz w:val="20"/>
                <w:szCs w:val="20"/>
                <w:lang w:bidi="ar"/>
              </w:rPr>
              <w:t>部门整体自评，我单位已完成如下工作：保障办公人员数量52人，组织及各类考试完成及时率达到100%，资助学生人数164人，开展教师培训数量3次，各类培训及学习次数20次，组织开展本校的教育科学科研和教育教学改革，全力推进素质教育实施，按照义务教育课程计划，开齐课程，开足课时，认真实施小学的教育教学管理，全面推进素质教育，全面提高教育教学质量。</w:t>
            </w:r>
          </w:p>
        </w:tc>
      </w:tr>
      <w:tr w14:paraId="3D997E37">
        <w:tblPrEx>
          <w:tblCellMar>
            <w:top w:w="0" w:type="dxa"/>
            <w:left w:w="108" w:type="dxa"/>
            <w:bottom w:w="0" w:type="dxa"/>
            <w:right w:w="108" w:type="dxa"/>
          </w:tblCellMar>
        </w:tblPrEx>
        <w:trPr>
          <w:trHeight w:val="58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CB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9E9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E46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061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6D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3E8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AF8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FE2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0A868A01">
        <w:tblPrEx>
          <w:tblCellMar>
            <w:top w:w="0" w:type="dxa"/>
            <w:left w:w="108" w:type="dxa"/>
            <w:bottom w:w="0" w:type="dxa"/>
            <w:right w:w="108" w:type="dxa"/>
          </w:tblCellMar>
        </w:tblPrEx>
        <w:trPr>
          <w:trHeight w:val="7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E8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081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001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53C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&gt;=52人</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64F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木垒哈萨克自治县新户镇中心学校机构改革方案</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E13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666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52人</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10B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278E1385">
        <w:tblPrEx>
          <w:tblCellMar>
            <w:top w:w="0" w:type="dxa"/>
            <w:left w:w="108" w:type="dxa"/>
            <w:bottom w:w="0" w:type="dxa"/>
            <w:right w:w="108" w:type="dxa"/>
          </w:tblCellMar>
        </w:tblPrEx>
        <w:trPr>
          <w:trHeight w:val="739" w:hRule="atLeast"/>
          <w:jc w:val="center"/>
        </w:trPr>
        <w:tc>
          <w:tcPr>
            <w:tcW w:w="15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68F4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6E4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48B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5FB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&gt;=100%</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F2C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AB0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B81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w:t>
            </w:r>
            <w:r>
              <w:rPr>
                <w:rStyle w:val="15"/>
                <w:rFonts w:hint="default"/>
                <w:lang w:bidi="ar"/>
              </w:rPr>
              <w:t>100%</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25D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105C4498">
        <w:tblPrEx>
          <w:tblCellMar>
            <w:top w:w="0" w:type="dxa"/>
            <w:left w:w="108" w:type="dxa"/>
            <w:bottom w:w="0" w:type="dxa"/>
            <w:right w:w="108" w:type="dxa"/>
          </w:tblCellMar>
        </w:tblPrEx>
        <w:trPr>
          <w:trHeight w:val="739"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F8C51">
            <w:pPr>
              <w:jc w:val="center"/>
              <w:rPr>
                <w:rFonts w:hint="eastAsia" w:ascii="宋体" w:hAnsi="宋体" w:cs="宋体"/>
                <w:color w:val="000000"/>
                <w:sz w:val="20"/>
                <w:szCs w:val="20"/>
              </w:rPr>
            </w:pP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06BF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744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D39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&gt;=164人</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433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2F5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29B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w:t>
            </w:r>
            <w:r>
              <w:rPr>
                <w:rStyle w:val="15"/>
                <w:rFonts w:hint="default"/>
                <w:lang w:bidi="ar"/>
              </w:rPr>
              <w:t>164人</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DCA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7F47DFF9">
        <w:tblPrEx>
          <w:tblCellMar>
            <w:top w:w="0" w:type="dxa"/>
            <w:left w:w="108" w:type="dxa"/>
            <w:bottom w:w="0" w:type="dxa"/>
            <w:right w:w="108" w:type="dxa"/>
          </w:tblCellMar>
        </w:tblPrEx>
        <w:trPr>
          <w:trHeight w:val="739"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03224">
            <w:pPr>
              <w:jc w:val="center"/>
              <w:rPr>
                <w:rFonts w:hint="eastAsia" w:ascii="宋体" w:hAnsi="宋体" w:cs="宋体"/>
                <w:color w:val="000000"/>
                <w:sz w:val="20"/>
                <w:szCs w:val="20"/>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06E62">
            <w:pPr>
              <w:jc w:val="center"/>
              <w:rPr>
                <w:rFonts w:hint="eastAsia" w:ascii="宋体" w:hAnsi="宋体" w:cs="宋体"/>
                <w:color w:val="000000"/>
                <w:sz w:val="20"/>
                <w:szCs w:val="20"/>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7A7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9E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&gt;=3次</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D9E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457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90E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w:t>
            </w:r>
            <w:r>
              <w:rPr>
                <w:rStyle w:val="15"/>
                <w:rFonts w:hint="default"/>
                <w:lang w:bidi="ar"/>
              </w:rPr>
              <w:t>3次</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ED9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541704EB">
        <w:tblPrEx>
          <w:tblCellMar>
            <w:top w:w="0" w:type="dxa"/>
            <w:left w:w="108" w:type="dxa"/>
            <w:bottom w:w="0" w:type="dxa"/>
            <w:right w:w="108" w:type="dxa"/>
          </w:tblCellMar>
        </w:tblPrEx>
        <w:trPr>
          <w:trHeight w:val="739"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84F9E">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313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8B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B64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87D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1E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5A8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2C7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36A087E7">
        <w:tblPrEx>
          <w:tblCellMar>
            <w:top w:w="0" w:type="dxa"/>
            <w:left w:w="108" w:type="dxa"/>
            <w:bottom w:w="0" w:type="dxa"/>
            <w:right w:w="108" w:type="dxa"/>
          </w:tblCellMar>
        </w:tblPrEx>
        <w:trPr>
          <w:trHeight w:val="739"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48D3B">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ACC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244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D8B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7CE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0E7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FFA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4DF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04D802DD">
        <w:tblPrEx>
          <w:tblCellMar>
            <w:top w:w="0" w:type="dxa"/>
            <w:left w:w="108" w:type="dxa"/>
            <w:bottom w:w="0" w:type="dxa"/>
            <w:right w:w="108" w:type="dxa"/>
          </w:tblCellMar>
        </w:tblPrEx>
        <w:trPr>
          <w:trHeight w:val="739" w:hRule="atLeast"/>
          <w:jc w:val="center"/>
        </w:trPr>
        <w:tc>
          <w:tcPr>
            <w:tcW w:w="158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A696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B89D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4A22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D74D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8C25C">
            <w:pPr>
              <w:widowControl/>
              <w:jc w:val="left"/>
              <w:textAlignment w:val="center"/>
              <w:rPr>
                <w:rFonts w:hint="eastAsia" w:ascii="宋体" w:hAnsi="宋体" w:cs="宋体"/>
                <w:color w:val="000000"/>
                <w:sz w:val="20"/>
                <w:szCs w:val="20"/>
              </w:rPr>
            </w:pPr>
            <w:bookmarkStart w:id="48" w:name="_GoBack"/>
            <w:r>
              <w:rPr>
                <w:rFonts w:hint="eastAsia" w:ascii="宋体" w:hAnsi="宋体" w:cs="宋体"/>
                <w:color w:val="000000"/>
                <w:kern w:val="0"/>
                <w:sz w:val="20"/>
                <w:szCs w:val="20"/>
                <w:lang w:bidi="ar"/>
              </w:rPr>
              <w:t>木垒县</w:t>
            </w:r>
            <w:bookmarkEnd w:id="48"/>
            <w:r>
              <w:rPr>
                <w:rFonts w:hint="eastAsia" w:ascii="宋体" w:hAnsi="宋体" w:cs="宋体"/>
                <w:color w:val="000000"/>
                <w:kern w:val="0"/>
                <w:sz w:val="20"/>
                <w:szCs w:val="20"/>
                <w:lang w:bidi="ar"/>
              </w:rPr>
              <w:t>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5244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E98E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DBF1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12EB3ACE">
        <w:tblPrEx>
          <w:tblCellMar>
            <w:top w:w="0" w:type="dxa"/>
            <w:left w:w="108" w:type="dxa"/>
            <w:bottom w:w="0" w:type="dxa"/>
            <w:right w:w="108" w:type="dxa"/>
          </w:tblCellMar>
        </w:tblPrEx>
        <w:trPr>
          <w:trHeight w:val="739"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28C48">
            <w:pPr>
              <w:rPr>
                <w:rFonts w:hint="eastAsia" w:ascii="宋体" w:hAnsi="宋体" w:cs="宋体"/>
                <w:color w:val="000000"/>
                <w:sz w:val="20"/>
                <w:szCs w:val="20"/>
              </w:rPr>
            </w:pP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CA89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D254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C5FB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02B5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CB11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236B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w:t>
            </w:r>
            <w:r>
              <w:rPr>
                <w:rStyle w:val="15"/>
                <w:rFonts w:hint="default"/>
                <w:lang w:bidi="ar"/>
              </w:rPr>
              <w:t>95%</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ACEC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9CEB335">
        <w:tblPrEx>
          <w:tblCellMar>
            <w:top w:w="0" w:type="dxa"/>
            <w:left w:w="108" w:type="dxa"/>
            <w:bottom w:w="0" w:type="dxa"/>
            <w:right w:w="108" w:type="dxa"/>
          </w:tblCellMar>
        </w:tblPrEx>
        <w:trPr>
          <w:trHeight w:val="7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D32A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DE4FF">
            <w:pPr>
              <w:rPr>
                <w:rFonts w:hint="eastAsia" w:ascii="宋体" w:hAnsi="宋体" w:cs="宋体"/>
                <w:color w:val="000000"/>
                <w:sz w:val="20"/>
                <w:szCs w:val="20"/>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6F5C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FF01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B8F7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C40B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AAC6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5C18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14:paraId="0E7781C5">
      <w:pPr>
        <w:ind w:firstLine="640" w:firstLineChars="200"/>
        <w:jc w:val="left"/>
        <w:rPr>
          <w:rFonts w:hint="eastAsia" w:ascii="黑体" w:hAnsi="黑体" w:eastAsia="黑体" w:cs="宋体"/>
          <w:bCs/>
          <w:kern w:val="0"/>
          <w:sz w:val="32"/>
          <w:szCs w:val="32"/>
        </w:rPr>
      </w:pPr>
    </w:p>
    <w:p w14:paraId="49BDDD8F">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13E9809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7FF782FC">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569051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8F533D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1D1F1C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E354E1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E027AD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02E53F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C57A20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8F030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8C0DA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4F4F30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41B776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CBFB46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178D06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DFB1F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ABC4E6A">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5191CFC">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0F79DFA5">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5185663A">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05AF9C23">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3D058EC2">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19426A1E">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23EDB8D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71DA10C9">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55C2DDB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FBF8DB8">
      <w:pPr>
        <w:ind w:firstLine="640" w:firstLineChars="200"/>
        <w:rPr>
          <w:rFonts w:ascii="仿宋_GB2312" w:eastAsia="仿宋_GB2312"/>
          <w:sz w:val="32"/>
          <w:szCs w:val="32"/>
        </w:rPr>
      </w:pPr>
    </w:p>
    <w:p w14:paraId="62AC8B15">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264D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ABE90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8ABE90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937F30"/>
    <w:rsid w:val="000C7FCB"/>
    <w:rsid w:val="001628D9"/>
    <w:rsid w:val="00213C59"/>
    <w:rsid w:val="00312AED"/>
    <w:rsid w:val="003210CE"/>
    <w:rsid w:val="00547E4F"/>
    <w:rsid w:val="006A1DAB"/>
    <w:rsid w:val="007871EB"/>
    <w:rsid w:val="009350C3"/>
    <w:rsid w:val="00937F30"/>
    <w:rsid w:val="00A20B38"/>
    <w:rsid w:val="00B70D59"/>
    <w:rsid w:val="00C8684D"/>
    <w:rsid w:val="00D66690"/>
    <w:rsid w:val="00DA477A"/>
    <w:rsid w:val="00E1530D"/>
    <w:rsid w:val="00E27A41"/>
    <w:rsid w:val="00EC352D"/>
    <w:rsid w:val="00F52A8D"/>
    <w:rsid w:val="00F563EB"/>
    <w:rsid w:val="019404F8"/>
    <w:rsid w:val="02A33A76"/>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4D2467"/>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6D6806"/>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4D3D90"/>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493D37"/>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622F6B"/>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8A5746"/>
    <w:rsid w:val="79D57D57"/>
    <w:rsid w:val="79F00650"/>
    <w:rsid w:val="7A6242BF"/>
    <w:rsid w:val="7A794513"/>
    <w:rsid w:val="7AE952D2"/>
    <w:rsid w:val="7B605DE9"/>
    <w:rsid w:val="7C7248A0"/>
    <w:rsid w:val="7C976D69"/>
    <w:rsid w:val="7CD752DA"/>
    <w:rsid w:val="7CDE40AB"/>
    <w:rsid w:val="7CF057E2"/>
    <w:rsid w:val="7D124E1E"/>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autoRedefine/>
    <w:qFormat/>
    <w:uiPriority w:val="0"/>
    <w:rPr>
      <w:rFonts w:ascii="Times New Roman" w:hAnsi="Times New Roman" w:eastAsia="宋体" w:cs="Times New Roman"/>
      <w:lang w:val="en-US" w:eastAsia="zh-CN" w:bidi="ar-SA"/>
    </w:rPr>
  </w:style>
  <w:style w:type="character" w:customStyle="1" w:styleId="15">
    <w:name w:val="font21"/>
    <w:basedOn w:val="10"/>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6285</Words>
  <Characters>7130</Characters>
  <Lines>58</Lines>
  <Paragraphs>16</Paragraphs>
  <TotalTime>178</TotalTime>
  <ScaleCrop>false</ScaleCrop>
  <LinksUpToDate>false</LinksUpToDate>
  <CharactersWithSpaces>7146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2024-12-05T08:04:10Z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